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730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求</w:t>
      </w:r>
    </w:p>
    <w:p w14:paraId="6AAA61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ap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aps/>
          <w:color w:val="000000"/>
          <w:sz w:val="32"/>
          <w:szCs w:val="32"/>
        </w:rPr>
        <w:t>项目概况</w:t>
      </w:r>
    </w:p>
    <w:p w14:paraId="1F248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ap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  <w:lang w:eastAsia="zh-CN"/>
        </w:rPr>
        <w:t>名称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  <w:lang w:val="en-US" w:eastAsia="zh-CN"/>
        </w:rPr>
        <w:t>湖北省环境污染责任保险服务统一平台项目；</w:t>
      </w:r>
    </w:p>
    <w:p w14:paraId="36D89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aps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  <w:lang w:val="en-US" w:eastAsia="zh-CN"/>
        </w:rPr>
        <w:t>项目内容：</w:t>
      </w:r>
    </w:p>
    <w:p w14:paraId="6833A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right="0" w:rightChars="0" w:firstLine="1015" w:firstLineChars="316"/>
        <w:jc w:val="both"/>
        <w:textAlignment w:val="baseline"/>
        <w:outlineLvl w:val="9"/>
        <w:rPr>
          <w:rFonts w:hint="eastAsia" w:ascii="仿宋" w:hAnsi="仿宋" w:eastAsia="仿宋" w:cs="仿宋"/>
          <w:b/>
          <w:bCs/>
          <w:cap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aps/>
          <w:color w:val="000000"/>
          <w:sz w:val="32"/>
          <w:szCs w:val="32"/>
          <w:lang w:val="en-US" w:eastAsia="zh-CN"/>
        </w:rPr>
        <w:t>1、项目概述</w:t>
      </w:r>
    </w:p>
    <w:p w14:paraId="6D7E05A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中华人民共和国民法典》《中华人民共和国环境保护法》《中华人民共和国保险法》《中华人民共和国固体废物污染环境防治法》，党中央、国务院印发的《生态文明体制改革总体方案》，中国人民银行等七部委印发的《关于构建绿色金融体系的指导意见》（银发〔2016〕228号）以及《湖北省环境污染责任保险管理办法》（鄂环发〔2021〕81号）相关要求，为规范环境污染责任保险活动，提高环境风险防范能力,保障社会公众利益，在湖北省生态环境厅、国家金融监督管理总局湖北监管局（以下简称银行保险监督管理机构）的监督指导下，我中心拟搭建全省统一的环责险服务平台，为企业提供风险评估、选保投保的一站式服务。</w:t>
      </w:r>
    </w:p>
    <w:p w14:paraId="0E4E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80" w:lineRule="exact"/>
        <w:ind w:left="0" w:leftChars="0" w:right="0" w:rightChars="0" w:firstLine="964" w:firstLineChars="300"/>
        <w:jc w:val="both"/>
        <w:textAlignment w:val="baseline"/>
        <w:outlineLvl w:val="9"/>
        <w:rPr>
          <w:rFonts w:hint="eastAsia" w:ascii="仿宋" w:hAnsi="仿宋" w:eastAsia="仿宋" w:cs="仿宋"/>
          <w:b/>
          <w:bCs/>
          <w:cap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aps/>
          <w:color w:val="000000"/>
          <w:sz w:val="32"/>
          <w:szCs w:val="32"/>
          <w:lang w:val="en-US" w:eastAsia="zh-CN"/>
        </w:rPr>
        <w:t>2、采购内容</w:t>
      </w:r>
    </w:p>
    <w:p w14:paraId="61D6762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采购湖北省环境污染责任保险服务统一平台一套，服务期一年（详见“二、服务方式及成果要求）”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5A046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cap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  <w:highlight w:val="none"/>
        </w:rPr>
        <w:t>采购预算：</w:t>
      </w:r>
      <w:r>
        <w:rPr>
          <w:rFonts w:hint="eastAsia" w:ascii="仿宋" w:hAnsi="仿宋" w:eastAsia="仿宋" w:cs="仿宋"/>
          <w:caps/>
          <w:color w:val="000000"/>
          <w:sz w:val="32"/>
          <w:szCs w:val="32"/>
          <w:highlight w:val="none"/>
          <w:u w:val="single"/>
          <w:lang w:val="en-US" w:eastAsia="zh-CN"/>
        </w:rPr>
        <w:t>200000</w:t>
      </w:r>
      <w:r>
        <w:rPr>
          <w:rFonts w:hint="eastAsia" w:ascii="仿宋" w:hAnsi="仿宋" w:eastAsia="仿宋" w:cs="仿宋"/>
          <w:caps/>
          <w:color w:val="auto"/>
          <w:sz w:val="32"/>
          <w:szCs w:val="32"/>
          <w:highlight w:val="none"/>
        </w:rPr>
        <w:t>元(人民币</w:t>
      </w:r>
      <w:r>
        <w:rPr>
          <w:rFonts w:hint="eastAsia" w:ascii="仿宋" w:hAnsi="仿宋" w:eastAsia="仿宋" w:cs="仿宋"/>
          <w:caps/>
          <w:color w:val="auto"/>
          <w:sz w:val="32"/>
          <w:szCs w:val="32"/>
          <w:highlight w:val="none"/>
          <w:u w:val="single"/>
          <w:lang w:val="en-US" w:eastAsia="zh-CN"/>
        </w:rPr>
        <w:t>贰拾万</w:t>
      </w:r>
      <w:r>
        <w:rPr>
          <w:rFonts w:hint="eastAsia" w:ascii="仿宋" w:hAnsi="仿宋" w:eastAsia="仿宋" w:cs="仿宋"/>
          <w:caps/>
          <w:color w:val="auto"/>
          <w:sz w:val="32"/>
          <w:szCs w:val="32"/>
          <w:highlight w:val="none"/>
          <w:lang w:eastAsia="zh-CN"/>
        </w:rPr>
        <w:t>元</w:t>
      </w:r>
      <w:r>
        <w:rPr>
          <w:rFonts w:hint="eastAsia" w:ascii="仿宋" w:hAnsi="仿宋" w:eastAsia="仿宋" w:cs="仿宋"/>
          <w:caps/>
          <w:color w:val="auto"/>
          <w:sz w:val="32"/>
          <w:szCs w:val="32"/>
          <w:highlight w:val="none"/>
        </w:rPr>
        <w:t>整)</w:t>
      </w:r>
      <w:r>
        <w:rPr>
          <w:rFonts w:hint="eastAsia" w:ascii="仿宋" w:hAnsi="仿宋" w:eastAsia="仿宋" w:cs="仿宋"/>
          <w:caps/>
          <w:color w:val="auto"/>
          <w:sz w:val="32"/>
          <w:szCs w:val="32"/>
          <w:highlight w:val="none"/>
          <w:lang w:val="en-US" w:eastAsia="zh-CN"/>
        </w:rPr>
        <w:t>。</w:t>
      </w:r>
    </w:p>
    <w:p w14:paraId="5A9F7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b w:val="0"/>
          <w:bCs/>
          <w:cap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aps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aps/>
          <w:color w:val="000000"/>
          <w:sz w:val="32"/>
          <w:szCs w:val="32"/>
          <w:lang w:eastAsia="zh-CN"/>
        </w:rPr>
        <w:t>服务方式及成果要求</w:t>
      </w:r>
    </w:p>
    <w:p w14:paraId="47184BC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基础架构搭建：建议以网页或PC客户端为主，系统部署在中心统一管理的服务器上，确保系统的高可用性和数据安全性。</w:t>
      </w:r>
    </w:p>
    <w:p w14:paraId="469236F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功能模块开发：包括保险产品展示、企业系统投保（支付环节网上转账或联系保险公司线下支付）、风险评估服务、保费计算、电子保单管理、理赔服务、数据统计等模块。</w:t>
      </w:r>
    </w:p>
    <w:p w14:paraId="492DD41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数据接口对接：前期开放手动数据录入及上传功能，包括保险公司、第三方风险评估公司、投保企业、市级生态环境主管部门4方录入环责险相关数据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 w14:paraId="46047CB8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用户管理与权限设置：建立企业用户、保险公司、第三方风险评估机构、17个市级生态环境主管部门、中心后台管理、湖北省银保监局、湖北省生态环境厅等多用户角色管理体系，并对应分配各角色功能权限。</w:t>
      </w:r>
    </w:p>
    <w:p w14:paraId="6367BC3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平台主要功能设计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具体如下：</w:t>
      </w:r>
    </w:p>
    <w:p w14:paraId="4CA8BEB2">
      <w:pPr>
        <w:rPr>
          <w:rFonts w:hint="eastAsia"/>
          <w:lang w:eastAsia="zh-CN"/>
        </w:rPr>
      </w:pPr>
    </w:p>
    <w:tbl>
      <w:tblPr>
        <w:tblStyle w:val="5"/>
        <w:tblW w:w="5712" w:type="pct"/>
        <w:tblInd w:w="-4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04"/>
        <w:gridCol w:w="1267"/>
        <w:gridCol w:w="1932"/>
        <w:gridCol w:w="4543"/>
      </w:tblGrid>
      <w:tr w14:paraId="11949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02FE2E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8A436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一级功能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62DBF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二级功能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65245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三级功能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vAlign w:val="center"/>
          </w:tcPr>
          <w:p w14:paraId="4D4319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功能描述</w:t>
            </w:r>
          </w:p>
        </w:tc>
      </w:tr>
      <w:tr w14:paraId="01E17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970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26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首页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85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欢迎页面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23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D5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欢迎语、宣传语图片</w:t>
            </w:r>
          </w:p>
        </w:tc>
      </w:tr>
      <w:tr w14:paraId="5A73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9C2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56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DB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登录入口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977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42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企业，监管部门，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，保险公司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提供统一登录入口。</w:t>
            </w:r>
          </w:p>
        </w:tc>
      </w:tr>
      <w:tr w14:paraId="4774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3EF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D6E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46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企业服务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22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企业投保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61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点击后跳转到登录，登录后到企业投保页面。</w:t>
            </w:r>
          </w:p>
        </w:tc>
      </w:tr>
      <w:tr w14:paraId="7ECD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972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B1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94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C2C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事故理赔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B4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企业发起，上传资料，平台通知对应地市生态主管部门和保险公司。（站内通知）</w:t>
            </w:r>
          </w:p>
        </w:tc>
      </w:tr>
      <w:tr w14:paraId="159F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0A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D1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E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4C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事故预防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D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预防变动的相关事项，上传应急预案证明进行报备（非必传），平台通知地市生态主管部门和风险评估公司。</w:t>
            </w:r>
          </w:p>
        </w:tc>
      </w:tr>
      <w:tr w14:paraId="3DE39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F4A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0A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0B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50E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专家咨询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0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放置QQ号或者电话等联系方式。</w:t>
            </w:r>
          </w:p>
        </w:tc>
      </w:tr>
      <w:tr w14:paraId="2C7FB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8C1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DF5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BC0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环责险数据统计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8A3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F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在保企业数、在保累计保费、在保累计保额（数据来源保单）</w:t>
            </w:r>
          </w:p>
        </w:tc>
      </w:tr>
      <w:tr w14:paraId="423A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438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645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30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政策法规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47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2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通知公告、政策法规（可以分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外省和本省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）、安全活动、事故警示、经典案例、宣传培训列表展示，点击每条可查看具体详情。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（附件视频可传至腾讯或其他网站外链）</w:t>
            </w:r>
          </w:p>
        </w:tc>
      </w:tr>
      <w:tr w14:paraId="1028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27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E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FC0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相关链接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63F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3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放上环保厅、环交中心官网、银保监官网链接</w:t>
            </w:r>
          </w:p>
        </w:tc>
      </w:tr>
      <w:tr w14:paraId="4C87C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9BD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AB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6C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新手指引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F7D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登录注册，投保申请，保险理赔（查看我的索赔，联系理赔专员查勘事宜）操作介绍</w:t>
            </w:r>
          </w:p>
        </w:tc>
      </w:tr>
      <w:tr w14:paraId="61C8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D5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0C9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1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用户中心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A0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用户设置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48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可修改登录密码，忘记密码后台管理员重置密码。</w:t>
            </w:r>
          </w:p>
        </w:tc>
      </w:tr>
      <w:tr w14:paraId="21002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1A8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A4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6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9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可查阅事故预防资料。（企业、保险公司、生态厅可查看）</w:t>
            </w:r>
          </w:p>
        </w:tc>
      </w:tr>
      <w:tr w14:paraId="2DBCD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9CD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5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E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D1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我的保单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企业用户可以查看自己的保单，保险公司查看所有承保的保单。</w:t>
            </w:r>
          </w:p>
        </w:tc>
      </w:tr>
      <w:tr w14:paraId="04A8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35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F1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投保企业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8AF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注册登录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8A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72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登录、用户注册、忘记密码（发短信重置）、填写企业基本信息，提供导入功能，600家企业预先导入，后面新增的企业也可以注册填写信息，并由环交所审核，通过则可登录买保险，不通过，则不能登录系统投保。</w:t>
            </w:r>
          </w:p>
        </w:tc>
      </w:tr>
      <w:tr w14:paraId="6382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7C0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3C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D9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投保申请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68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B90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投保人阅读介绍及须知，并勾选同意 相关信息授权(阅读《湖北省环境污染责任保险管理办法》等、授权包括保险公司获取联系方式、第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有权获取企业风险评估相关材料、第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有权代表企业上传风险评估报告结果及相关投保材料)</w:t>
            </w:r>
          </w:p>
          <w:p w14:paraId="4FF1AAC7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发起投保申请后可以选择撤销申请，服务机构接单上传评估报告后，企业若需更换保险公司可以重新发起新投保申请。新投保申请默认使用上一次的评估报告。企业发起新投保申请后，可以选择两个投保申请的任意一个继续完成投保流程，其中一个投保申请单流程完成另外一个申请单自动关闭，投保申请单未完结不允许再次发起新的投保申请。环交中心可以选择关闭投保申请，关闭后可以发起新的投保申请。</w:t>
            </w:r>
          </w:p>
          <w:p w14:paraId="4DE1E3E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企业将风险评估调查问卷及相关需求材料上传至平台。（相关材料有清单看《管理规程》）</w:t>
            </w:r>
          </w:p>
          <w:p w14:paraId="044CD3B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站内及短信通知保险公司和第三方风险评估机构接订单，联系企业开展工作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（1.线下沟通风险评估工作及保险档位调整；2.对应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可以登录平台下载该企业上传的风险评估及有关材料）</w:t>
            </w:r>
          </w:p>
          <w:p w14:paraId="4A7C57F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完成企业风险评估报告后，上传风险评估报告，并填写风险等级及报告效期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5884DBBA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完成5后，保险公司在系统确认企业选择的投保档位及保费信息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（可以联系企业沟通后，进行手动修改）</w:t>
            </w:r>
          </w:p>
          <w:p w14:paraId="582F1091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企业查看并确认保险公司上传信息无误（可申请修改信息，需联系保险公司审核同意才能修改）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。企业可以确认支付状态，保险公司可以录入保单。</w:t>
            </w:r>
          </w:p>
          <w:p w14:paraId="083EB1B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保险公司上传保单完成投保，填写保费、保额平台记录数据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  <w:p w14:paraId="16E6AC5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任意时间都可以续保，续保不能更换保险公司，续保时之前的风险评估报告若没到期可以继续用，风险评估报告到期需再次提交报告，一年两次报告。更换保险公司可以发起新的投保申请，不属于续保。</w:t>
            </w:r>
          </w:p>
        </w:tc>
      </w:tr>
      <w:tr w14:paraId="77977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D8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B29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26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保单管理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27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25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保单查询阅览和下载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，保单续保和保单退保操作，退保：企业发起解约申请，填写解约原因，保险公司同意后，修改状态为解约，并记录退保时间和金额。</w:t>
            </w:r>
          </w:p>
        </w:tc>
      </w:tr>
      <w:tr w14:paraId="6D1E7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A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B59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A2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理赔服务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EB5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D0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在线填写报案表，系统将信息推送给对应的保险公司、第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服务机构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和生态环境部门。</w:t>
            </w:r>
          </w:p>
        </w:tc>
      </w:tr>
      <w:tr w14:paraId="1335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09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96C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B7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登录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9E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用户登录、忘记密码（重置）。</w:t>
            </w:r>
          </w:p>
        </w:tc>
      </w:tr>
      <w:tr w14:paraId="3C6B8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44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F3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361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待办事项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1D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84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保险公司待办包含订单查看获取企业联系方式，调整保档保费；</w:t>
            </w:r>
          </w:p>
        </w:tc>
      </w:tr>
      <w:tr w14:paraId="5451F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0F1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EBA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81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保单管理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880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D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投保保单信息录入包括保单编号，保额，保费、期限、保单电子版附件等。查看保单列表，增加搜索条件包含时间，状态、地域。可导出</w:t>
            </w:r>
          </w:p>
        </w:tc>
      </w:tr>
      <w:tr w14:paraId="45855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405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0ED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EBB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4AA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39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查看各自产品的投保数量、保险费收入等数据统计信息，可按区域统计，区域到地市。</w:t>
            </w:r>
          </w:p>
        </w:tc>
      </w:tr>
      <w:tr w14:paraId="4DD8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09E42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45A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第三方风险评估公司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4FB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待办事项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9DD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8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查看待办企业风险评估材料下载，上传体检报告，填写风险等级和时效</w:t>
            </w:r>
          </w:p>
        </w:tc>
      </w:tr>
      <w:tr w14:paraId="2C0E2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827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071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1D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信息查询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4B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企业列表</w:t>
            </w: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2A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查询本公司风险评估过的企业数量及分布</w:t>
            </w:r>
          </w:p>
        </w:tc>
      </w:tr>
      <w:tr w14:paraId="429B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0ED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70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A9D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台账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B6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8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查询风险评估过的企业、风险评估报告、风险评估表、调查问卷</w:t>
            </w:r>
          </w:p>
        </w:tc>
      </w:tr>
      <w:tr w14:paraId="1C73E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88B30">
            <w:p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88E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E0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技术咨询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F3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4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放置QQ号或者电话等联系方式。</w:t>
            </w:r>
          </w:p>
        </w:tc>
      </w:tr>
      <w:tr w14:paraId="7A7B7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39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ABA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市级生态环境主管部门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7EF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数据录入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3C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C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补充录入历史数据（线下企业购买的保单等信息录入到系统），补录数据做好补录标识，可设置是否统计此类数据。</w:t>
            </w:r>
          </w:p>
        </w:tc>
      </w:tr>
      <w:tr w14:paraId="4102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72C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052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8A4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统计分析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0A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FE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本区域内企业投保信息查询及数据导出（包含企业投标数量、未投保数量）市级只能看本市区域的数据，重点看600家应保企业数据。</w:t>
            </w:r>
          </w:p>
        </w:tc>
      </w:tr>
      <w:tr w14:paraId="14C4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937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80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省环交中心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AC1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待办事项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62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1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环交中心待办包含企业注册后，待审核资料</w:t>
            </w:r>
          </w:p>
        </w:tc>
      </w:tr>
      <w:tr w14:paraId="7DD8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7A4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A2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9B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企业账号审核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99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D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企业注册账号审核</w:t>
            </w:r>
          </w:p>
        </w:tc>
      </w:tr>
      <w:tr w14:paraId="71CD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9CF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EA6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DE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录入数据审核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EC5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A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补录数据审核</w:t>
            </w:r>
          </w:p>
        </w:tc>
      </w:tr>
      <w:tr w14:paraId="10544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8E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3F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9B1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用户咨询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B3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79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暂留联系方式</w:t>
            </w:r>
          </w:p>
        </w:tc>
      </w:tr>
      <w:tr w14:paraId="4790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8D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4EF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4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C45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E2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全省内企业投保信息查询及数据导出（包含企业投标数量、未投保数量）可看全省地市的所有数据，重点看600家应保企业数据</w:t>
            </w:r>
          </w:p>
        </w:tc>
      </w:tr>
      <w:tr w14:paraId="44E73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B2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6A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湖北省银保监局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B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74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5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全省内企业投保信息查询及数据导出（包含企业投标数量、未投保数量）可看全省地市的所有数据，重点看600家应保企业数据</w:t>
            </w:r>
          </w:p>
        </w:tc>
      </w:tr>
      <w:tr w14:paraId="5D12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92F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71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湖北省生态环境厅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692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数据统计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B6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全省内企业投保信息查询及数据导出（包含企业投标数量、未投保数量），重点看600家应保企业数据</w:t>
            </w:r>
          </w:p>
        </w:tc>
      </w:tr>
      <w:tr w14:paraId="671A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E4CD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E6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后台管理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1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用户管理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E6B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3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用户查询、用户信息编辑，重置密码、用户启用/停用</w:t>
            </w:r>
          </w:p>
        </w:tc>
      </w:tr>
      <w:tr w14:paraId="4E00B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B9E5B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B3A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9E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系统设置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89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29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菜单管理、角色管理</w:t>
            </w:r>
          </w:p>
        </w:tc>
      </w:tr>
      <w:tr w14:paraId="7C417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32104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22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743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操作日志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F71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2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登录日志、操作日志</w:t>
            </w:r>
          </w:p>
        </w:tc>
      </w:tr>
      <w:tr w14:paraId="7D84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7F01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79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6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内容管理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6E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B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内容发布、编辑、删除</w:t>
            </w:r>
          </w:p>
        </w:tc>
      </w:tr>
      <w:tr w14:paraId="005B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BBBDD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B93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22A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保险公司维护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C4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5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设置保险公司和推荐、设置保险公司默认展示数量、保险公司显示排序</w:t>
            </w:r>
          </w:p>
        </w:tc>
      </w:tr>
      <w:tr w14:paraId="63E0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54C8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E5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58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保额维护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A9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12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保额维护、设置保额和推荐</w:t>
            </w:r>
          </w:p>
        </w:tc>
      </w:tr>
      <w:tr w14:paraId="367B0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E78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1B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微信小程序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F6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数据监控和统计分析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3A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市级生态环境主管部门、省环交中心、湖北省银保监局、湖北省生态环境厅查看企业投保信息（包含企业投保数量、投标金额、未投保数量、退保数量等）</w:t>
            </w:r>
          </w:p>
          <w:p w14:paraId="1255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保险公司查看投保情况包括在保企业、正在申请的企业、申请理赔的企业等信息。</w:t>
            </w:r>
          </w:p>
        </w:tc>
      </w:tr>
    </w:tbl>
    <w:p w14:paraId="55455AE2">
      <w:r>
        <w:rPr>
          <w:rFonts w:hint="eastAsia" w:ascii="仿宋" w:hAnsi="仿宋" w:eastAsia="仿宋" w:cs="仿宋"/>
          <w:b/>
          <w:color w:val="000000"/>
          <w:sz w:val="30"/>
          <w:szCs w:val="30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5B42F9"/>
    <w:multiLevelType w:val="singleLevel"/>
    <w:tmpl w:val="A25B4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BB71D3"/>
    <w:multiLevelType w:val="multilevel"/>
    <w:tmpl w:val="1CBB71D3"/>
    <w:lvl w:ilvl="0" w:tentative="0">
      <w:start w:val="1"/>
      <w:numFmt w:val="upperRoman"/>
      <w:suff w:val="nothing"/>
      <w:lvlText w:val="%1　"/>
      <w:lvlJc w:val="left"/>
      <w:pPr>
        <w:ind w:left="432" w:hanging="432"/>
      </w:pPr>
      <w:rPr>
        <w:rFonts w:hint="default" w:ascii="Times New Roman" w:hAnsi="Times New Roman"/>
        <w:sz w:val="32"/>
        <w:szCs w:val="32"/>
      </w:rPr>
    </w:lvl>
    <w:lvl w:ilvl="1" w:tentative="0">
      <w:start w:val="1"/>
      <w:numFmt w:val="chineseCountingThousand"/>
      <w:pStyle w:val="2"/>
      <w:suff w:val="nothing"/>
      <w:lvlText w:val="%2、"/>
      <w:lvlJc w:val="left"/>
      <w:pPr>
        <w:ind w:left="3128" w:hanging="576"/>
      </w:pPr>
      <w:rPr>
        <w:rFonts w:hint="default" w:ascii="Times New Roman" w:hAnsi="Times New Roman" w:eastAsia="宋体"/>
        <w:sz w:val="30"/>
        <w:szCs w:val="30"/>
        <w:lang w:val="en-US"/>
      </w:rPr>
    </w:lvl>
    <w:lvl w:ilvl="2" w:tentative="0">
      <w:start w:val="1"/>
      <w:numFmt w:val="decimal"/>
      <w:isLgl/>
      <w:suff w:val="nothing"/>
      <w:lvlText w:val="%2.%3　"/>
      <w:lvlJc w:val="left"/>
      <w:pPr>
        <w:ind w:left="1996" w:hanging="720"/>
      </w:pPr>
      <w:rPr>
        <w:rFonts w:hint="default" w:ascii="Times New Roman" w:hAnsi="Times New Roman" w:eastAsia="宋体"/>
        <w:sz w:val="28"/>
        <w:szCs w:val="28"/>
      </w:rPr>
    </w:lvl>
    <w:lvl w:ilvl="3" w:tentative="0">
      <w:start w:val="1"/>
      <w:numFmt w:val="decimal"/>
      <w:isLgl/>
      <w:suff w:val="nothing"/>
      <w:lvlText w:val="%2.%3.%4　"/>
      <w:lvlJc w:val="left"/>
      <w:pPr>
        <w:ind w:left="1716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chineseCountingThousand"/>
      <w:isLgl/>
      <w:suff w:val="nothing"/>
      <w:lvlText w:val="%2.%3.%4.%5　"/>
      <w:lvlJc w:val="left"/>
      <w:pPr>
        <w:ind w:left="1008" w:hanging="1008"/>
      </w:pPr>
      <w:rPr>
        <w:rFonts w:hint="default" w:ascii="Times New Roman" w:hAnsi="Times New Roman" w:eastAsia="宋体"/>
      </w:rPr>
    </w:lvl>
    <w:lvl w:ilvl="5" w:tentative="0">
      <w:start w:val="1"/>
      <w:numFmt w:val="decimal"/>
      <w:isLgl/>
      <w:suff w:val="nothing"/>
      <w:lvlText w:val="%2.%3.%4.%5.%6　"/>
      <w:lvlJc w:val="left"/>
      <w:pPr>
        <w:ind w:left="1152" w:hanging="1152"/>
      </w:pPr>
      <w:rPr>
        <w:rFonts w:hint="default" w:ascii="Times New Roman" w:hAnsi="Times New Roman" w:eastAsia="宋体"/>
        <w:sz w:val="24"/>
        <w:szCs w:val="24"/>
      </w:rPr>
    </w:lvl>
    <w:lvl w:ilvl="6" w:tentative="0">
      <w:start w:val="1"/>
      <w:numFmt w:val="upperLetter"/>
      <w:isLgl/>
      <w:suff w:val="nothing"/>
      <w:lvlText w:val="%2.%3.%4.%5.%6.%7　"/>
      <w:lvlJc w:val="left"/>
      <w:pPr>
        <w:ind w:left="1296" w:hanging="1296"/>
      </w:pPr>
      <w:rPr>
        <w:rFonts w:hint="default" w:ascii="Times New Roman" w:hAnsi="Times New Roman" w:eastAsia="宋体"/>
      </w:rPr>
    </w:lvl>
    <w:lvl w:ilvl="7" w:tentative="0">
      <w:start w:val="1"/>
      <w:numFmt w:val="lowerRoman"/>
      <w:isLgl/>
      <w:suff w:val="nothing"/>
      <w:lvlText w:val="%2.%3.%4.%5.%6.%7.%8　"/>
      <w:lvlJc w:val="left"/>
      <w:pPr>
        <w:ind w:left="1440" w:hanging="1440"/>
      </w:pPr>
      <w:rPr>
        <w:rFonts w:hint="default" w:ascii="Times New Roman" w:hAnsi="Times New Roman" w:eastAsia="宋体"/>
      </w:rPr>
    </w:lvl>
    <w:lvl w:ilvl="8" w:tentative="0">
      <w:start w:val="1"/>
      <w:numFmt w:val="decimal"/>
      <w:isLgl/>
      <w:lvlText w:val="%2.%3.%4.%5.%6.%7.%8.%9"/>
      <w:lvlJc w:val="left"/>
      <w:pPr>
        <w:tabs>
          <w:tab w:val="left" w:pos="1584"/>
        </w:tabs>
        <w:ind w:left="1584" w:hanging="1584"/>
      </w:pPr>
      <w:rPr>
        <w:rFonts w:hint="default" w:ascii="Times New Roman" w:hAnsi="Times New Roman" w:eastAsia="宋体"/>
        <w:color w:val="auto"/>
      </w:rPr>
    </w:lvl>
  </w:abstractNum>
  <w:abstractNum w:abstractNumId="2">
    <w:nsid w:val="59E0265F"/>
    <w:multiLevelType w:val="singleLevel"/>
    <w:tmpl w:val="59E0265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OWZkMTExZGVlZWEzZDU4ZWVlZTg1YWY0ZTQxZmMifQ=="/>
  </w:docVars>
  <w:rsids>
    <w:rsidRoot w:val="00000000"/>
    <w:rsid w:val="3F12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Calibri" w:hAnsi="Calibri" w:eastAsia="宋体" w:cs="Calibri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20" w:beforeLines="0" w:after="360" w:afterLines="0" w:line="720" w:lineRule="atLeast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40" w:after="180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adjustRightInd/>
      <w:spacing w:after="120" w:afterLines="0" w:line="240" w:lineRule="auto"/>
      <w:ind w:firstLine="0"/>
      <w:textAlignment w:val="auto"/>
    </w:pPr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2024-10-29T03:05:09Z</dcterms:created>
  <dc:creator>程总</dc:creator>
  <cp:lastModifiedBy>€Ψ༢</cp:lastModifiedBy>
  <dcterms:modified xsi:type="dcterms:W3CDTF">2024-10-29T03:05:31Z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C029C9236FE1484EB6AD4D56192FE783_12</vt:lpwstr>
  </property>
</Properties>
</file>